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4333E">
      <w:pPr>
        <w:rPr>
          <w:rFonts w:ascii="Calibri" w:hAnsi="Calibri" w:cs="Calibri"/>
          <w:sz w:val="20"/>
          <w:szCs w:val="20"/>
          <w:lang w:val="en-GB"/>
        </w:rPr>
      </w:pPr>
    </w:p>
    <w:p w:rsidR="00000000" w:rsidRDefault="0044333E">
      <w:pPr>
        <w:jc w:val="both"/>
        <w:rPr>
          <w:rFonts w:ascii="Calibri" w:hAnsi="Calibri" w:cs="Calibri"/>
          <w:b/>
          <w:bCs/>
          <w:sz w:val="20"/>
          <w:szCs w:val="20"/>
          <w:lang w:val="en-GB"/>
        </w:rPr>
      </w:pP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Certified copy of the Resolution passed at the meeting of the board of directors OF M/S </w:t>
      </w:r>
      <w:r w:rsidR="00B91434">
        <w:rPr>
          <w:rFonts w:ascii="Calibri" w:hAnsi="Calibri" w:cs="Calibri"/>
          <w:b/>
          <w:bCs/>
          <w:sz w:val="20"/>
          <w:szCs w:val="20"/>
          <w:lang w:val="en-GB"/>
        </w:rPr>
        <w:t>__________________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. </w:t>
      </w:r>
      <w:proofErr w:type="gramStart"/>
      <w:r>
        <w:rPr>
          <w:rFonts w:ascii="Calibri" w:hAnsi="Calibri" w:cs="Calibri"/>
          <w:b/>
          <w:bCs/>
          <w:sz w:val="20"/>
          <w:szCs w:val="20"/>
          <w:lang w:val="en-GB"/>
        </w:rPr>
        <w:t>held</w:t>
      </w:r>
      <w:proofErr w:type="gramEnd"/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 on</w:t>
      </w:r>
      <w:r>
        <w:rPr>
          <w:rFonts w:ascii="Calibri" w:hAnsi="Calibri" w:cs="Calibri"/>
          <w:b/>
          <w:bCs/>
          <w:sz w:val="20"/>
          <w:szCs w:val="20"/>
          <w:lang w:val="en-IN"/>
        </w:rPr>
        <w:t xml:space="preserve"> </w:t>
      </w:r>
      <w:r w:rsidR="00B91434">
        <w:rPr>
          <w:rFonts w:ascii="Calibri" w:hAnsi="Calibri" w:cs="Calibri"/>
          <w:b/>
          <w:bCs/>
          <w:sz w:val="22"/>
          <w:szCs w:val="22"/>
          <w:lang w:val="en-IN"/>
        </w:rPr>
        <w:t>_____________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lang w:val="en-GB"/>
        </w:rPr>
        <w:t xml:space="preserve">at the registered office of the company at </w:t>
      </w:r>
      <w:r w:rsidR="00B91434">
        <w:rPr>
          <w:rFonts w:ascii="Calibri" w:hAnsi="Calibri" w:cs="Calibri"/>
          <w:b/>
          <w:bCs/>
          <w:sz w:val="20"/>
          <w:szCs w:val="20"/>
          <w:lang w:val="en-GB"/>
        </w:rPr>
        <w:t>____________________________</w:t>
      </w:r>
    </w:p>
    <w:p w:rsidR="00000000" w:rsidRDefault="0044333E">
      <w:pPr>
        <w:rPr>
          <w:rFonts w:ascii="Calibri" w:hAnsi="Calibri" w:cs="Calibri"/>
          <w:sz w:val="20"/>
          <w:szCs w:val="20"/>
          <w:lang w:val="en-GB"/>
        </w:rPr>
      </w:pPr>
    </w:p>
    <w:p w:rsidR="00000000" w:rsidRDefault="0044333E">
      <w:pPr>
        <w:jc w:val="both"/>
        <w:rPr>
          <w:rFonts w:ascii="Calibri" w:hAnsi="Calibri" w:cs="Calibri"/>
          <w:sz w:val="20"/>
          <w:szCs w:val="20"/>
          <w:lang w:val="en-IN"/>
        </w:rPr>
      </w:pPr>
      <w:r>
        <w:rPr>
          <w:rFonts w:ascii="Calibri" w:hAnsi="Calibri" w:cs="Calibri"/>
          <w:sz w:val="20"/>
          <w:szCs w:val="20"/>
          <w:lang w:val="en-GB"/>
        </w:rPr>
        <w:t>"RESOLVED THAT</w:t>
      </w:r>
      <w:r>
        <w:rPr>
          <w:rFonts w:ascii="Calibri" w:hAnsi="Calibri" w:cs="Calibri"/>
          <w:sz w:val="20"/>
          <w:szCs w:val="20"/>
          <w:lang w:val="en-IN"/>
        </w:rPr>
        <w:t xml:space="preserve"> the company may open a </w:t>
      </w:r>
      <w:r w:rsidR="00B91434">
        <w:rPr>
          <w:rFonts w:ascii="Calibri" w:hAnsi="Calibri" w:cs="Calibri"/>
          <w:sz w:val="20"/>
          <w:szCs w:val="20"/>
          <w:lang w:val="en-IN"/>
        </w:rPr>
        <w:t xml:space="preserve">repository </w:t>
      </w:r>
      <w:r>
        <w:rPr>
          <w:rFonts w:ascii="Calibri" w:hAnsi="Calibri" w:cs="Calibri"/>
          <w:sz w:val="20"/>
          <w:szCs w:val="20"/>
          <w:lang w:val="en-IN"/>
        </w:rPr>
        <w:t xml:space="preserve"> account for </w:t>
      </w:r>
      <w:r w:rsidR="00B91434">
        <w:rPr>
          <w:rFonts w:ascii="Calibri" w:hAnsi="Calibri" w:cs="Calibri"/>
          <w:sz w:val="20"/>
          <w:szCs w:val="20"/>
          <w:lang w:val="en-IN"/>
        </w:rPr>
        <w:t>Commodity</w:t>
      </w:r>
      <w:r>
        <w:rPr>
          <w:rFonts w:ascii="Calibri" w:hAnsi="Calibri" w:cs="Calibri"/>
          <w:sz w:val="20"/>
          <w:szCs w:val="20"/>
          <w:lang w:val="en-IN"/>
        </w:rPr>
        <w:t xml:space="preserve"> in </w:t>
      </w:r>
      <w:r w:rsidR="00B91434">
        <w:rPr>
          <w:rFonts w:ascii="Calibri" w:hAnsi="Calibri" w:cs="Calibri"/>
          <w:sz w:val="20"/>
          <w:szCs w:val="20"/>
        </w:rPr>
        <w:t xml:space="preserve">NERL, CCRL </w:t>
      </w:r>
      <w:r>
        <w:rPr>
          <w:rFonts w:ascii="Calibri" w:hAnsi="Calibri" w:cs="Calibri"/>
          <w:sz w:val="20"/>
          <w:szCs w:val="20"/>
          <w:lang w:val="en-IN"/>
        </w:rPr>
        <w:t xml:space="preserve"> named &amp; styled as "</w:t>
      </w:r>
      <w:r w:rsidR="00B91434">
        <w:rPr>
          <w:rFonts w:ascii="Calibri" w:hAnsi="Calibri" w:cs="Calibri"/>
          <w:sz w:val="20"/>
          <w:szCs w:val="20"/>
          <w:lang w:val="en-IN"/>
        </w:rPr>
        <w:t>________________________</w:t>
      </w:r>
      <w:r>
        <w:rPr>
          <w:rFonts w:ascii="Calibri" w:hAnsi="Calibri" w:cs="Calibri"/>
          <w:sz w:val="20"/>
          <w:szCs w:val="20"/>
          <w:lang w:val="en-IN"/>
        </w:rPr>
        <w:t xml:space="preserve">" </w:t>
      </w:r>
      <w:r>
        <w:rPr>
          <w:rFonts w:ascii="Calibri" w:hAnsi="Calibri" w:cs="Calibri"/>
          <w:sz w:val="20"/>
          <w:szCs w:val="20"/>
          <w:lang w:val="en-IN"/>
        </w:rPr>
        <w:t xml:space="preserve">with </w:t>
      </w:r>
      <w:r>
        <w:rPr>
          <w:rFonts w:ascii="Calibri" w:hAnsi="Calibri" w:cs="Calibri"/>
          <w:i/>
          <w:iCs/>
          <w:sz w:val="20"/>
          <w:szCs w:val="20"/>
        </w:rPr>
        <w:t>Glob</w:t>
      </w:r>
      <w:r w:rsidR="00B91434"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lang w:val="en-IN"/>
        </w:rPr>
        <w:t>Capital Market Ltd</w:t>
      </w:r>
      <w:r w:rsidR="00B91434">
        <w:rPr>
          <w:rFonts w:ascii="Calibri" w:hAnsi="Calibri" w:cs="Calibri"/>
          <w:i/>
          <w:iCs/>
          <w:sz w:val="20"/>
          <w:szCs w:val="20"/>
          <w:lang w:val="en-IN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lang w:val="en-IN"/>
        </w:rPr>
        <w:t>(</w:t>
      </w:r>
      <w:r w:rsidR="00B91434">
        <w:rPr>
          <w:rFonts w:ascii="Calibri" w:hAnsi="Calibri" w:cs="Calibri"/>
          <w:i/>
          <w:iCs/>
          <w:sz w:val="20"/>
          <w:szCs w:val="20"/>
          <w:lang w:val="en-IN"/>
        </w:rPr>
        <w:t>Repository Participant)</w:t>
      </w:r>
      <w:r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  <w:lang w:val="en-IN"/>
        </w:rPr>
        <w:t xml:space="preserve">804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en-IN"/>
        </w:rPr>
        <w:t>Ansal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en-IN"/>
        </w:rPr>
        <w:t xml:space="preserve"> Bhawan,16</w:t>
      </w:r>
      <w:r w:rsidR="00B91434">
        <w:rPr>
          <w:rFonts w:ascii="Calibri" w:hAnsi="Calibri" w:cs="Calibri"/>
          <w:i/>
          <w:iCs/>
          <w:sz w:val="20"/>
          <w:szCs w:val="20"/>
          <w:lang w:val="en-IN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lang w:val="en-IN"/>
        </w:rPr>
        <w:t xml:space="preserve">KG </w:t>
      </w:r>
      <w:proofErr w:type="spellStart"/>
      <w:r>
        <w:rPr>
          <w:rFonts w:ascii="Calibri" w:hAnsi="Calibri" w:cs="Calibri"/>
          <w:i/>
          <w:iCs/>
          <w:sz w:val="20"/>
          <w:szCs w:val="20"/>
          <w:lang w:val="en-IN"/>
        </w:rPr>
        <w:t>Marg</w:t>
      </w:r>
      <w:proofErr w:type="spellEnd"/>
      <w:r>
        <w:rPr>
          <w:rFonts w:ascii="Calibri" w:hAnsi="Calibri" w:cs="Calibri"/>
          <w:i/>
          <w:iCs/>
          <w:sz w:val="20"/>
          <w:szCs w:val="20"/>
          <w:lang w:val="en-IN"/>
        </w:rPr>
        <w:t>, Connaught Place,</w:t>
      </w:r>
      <w:r w:rsidR="00B91434">
        <w:rPr>
          <w:rFonts w:ascii="Calibri" w:hAnsi="Calibri" w:cs="Calibri"/>
          <w:i/>
          <w:iCs/>
          <w:sz w:val="20"/>
          <w:szCs w:val="20"/>
          <w:lang w:val="en-IN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lang w:val="en-IN"/>
        </w:rPr>
        <w:t>New Del</w:t>
      </w:r>
      <w:r>
        <w:rPr>
          <w:rFonts w:ascii="Calibri" w:hAnsi="Calibri" w:cs="Calibri"/>
          <w:i/>
          <w:iCs/>
          <w:sz w:val="20"/>
          <w:szCs w:val="20"/>
          <w:lang w:val="en-IN"/>
        </w:rPr>
        <w:t>hi</w:t>
      </w:r>
      <w:r>
        <w:rPr>
          <w:rFonts w:ascii="Calibri" w:hAnsi="Calibri" w:cs="Calibri"/>
          <w:sz w:val="20"/>
          <w:szCs w:val="20"/>
          <w:lang w:val="en-IN"/>
        </w:rPr>
        <w:t xml:space="preserve"> </w:t>
      </w:r>
      <w:r w:rsidR="00B91434">
        <w:rPr>
          <w:rFonts w:ascii="Calibri" w:hAnsi="Calibri" w:cs="Calibri"/>
          <w:sz w:val="20"/>
          <w:szCs w:val="20"/>
          <w:lang w:val="en-IN"/>
        </w:rPr>
        <w:t>Repository</w:t>
      </w:r>
      <w:r>
        <w:rPr>
          <w:rFonts w:ascii="Calibri" w:hAnsi="Calibri" w:cs="Calibri"/>
          <w:sz w:val="20"/>
          <w:szCs w:val="20"/>
          <w:lang w:val="en-IN"/>
        </w:rPr>
        <w:t xml:space="preserve"> Participant of </w:t>
      </w:r>
      <w:r w:rsidR="00B91434">
        <w:rPr>
          <w:rFonts w:ascii="Calibri" w:hAnsi="Calibri" w:cs="Calibri"/>
          <w:sz w:val="20"/>
          <w:szCs w:val="20"/>
        </w:rPr>
        <w:t>NERL,CCRL</w:t>
      </w:r>
      <w:r>
        <w:rPr>
          <w:rFonts w:ascii="Calibri" w:hAnsi="Calibri" w:cs="Calibri"/>
          <w:sz w:val="20"/>
          <w:szCs w:val="20"/>
          <w:lang w:val="en-IN"/>
        </w:rPr>
        <w:t>. The following persons would operate upon the account in the manner specified against each of the person:</w:t>
      </w:r>
    </w:p>
    <w:p w:rsidR="00000000" w:rsidRDefault="0044333E">
      <w:pPr>
        <w:jc w:val="both"/>
        <w:rPr>
          <w:rFonts w:ascii="Calibri" w:hAnsi="Calibri" w:cs="Calibri"/>
          <w:sz w:val="20"/>
          <w:szCs w:val="20"/>
          <w:lang w:val="en-GB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"/>
        <w:gridCol w:w="1872"/>
        <w:gridCol w:w="3218"/>
        <w:gridCol w:w="3218"/>
      </w:tblGrid>
      <w:tr w:rsidR="00000000" w:rsidTr="00B91434">
        <w:trPr>
          <w:trHeight w:val="41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33E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S. No.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33E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33E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Capacity to operate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33E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n-IN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IN"/>
              </w:rPr>
              <w:t>Signature</w:t>
            </w:r>
          </w:p>
        </w:tc>
      </w:tr>
      <w:tr w:rsidR="00000000" w:rsidTr="00B91434">
        <w:trPr>
          <w:trHeight w:val="80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33E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000000" w:rsidTr="00B91434">
        <w:trPr>
          <w:trHeight w:val="80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33E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:rsidR="00000000" w:rsidRDefault="0044333E">
      <w:pPr>
        <w:rPr>
          <w:sz w:val="20"/>
          <w:szCs w:val="20"/>
        </w:rPr>
      </w:pPr>
    </w:p>
    <w:p w:rsidR="00000000" w:rsidRDefault="0044333E">
      <w:pPr>
        <w:rPr>
          <w:rFonts w:ascii="Calibri" w:hAnsi="Calibri" w:cs="Calibri"/>
          <w:sz w:val="20"/>
          <w:szCs w:val="20"/>
          <w:lang w:val="en-GB"/>
        </w:rPr>
      </w:pPr>
    </w:p>
    <w:p w:rsidR="00000000" w:rsidRDefault="0044333E">
      <w:pPr>
        <w:jc w:val="both"/>
        <w:rPr>
          <w:rFonts w:ascii="Calibri" w:hAnsi="Calibri" w:cs="Calibri"/>
          <w:sz w:val="20"/>
          <w:szCs w:val="20"/>
          <w:lang w:val="en-IN"/>
        </w:rPr>
      </w:pPr>
      <w:r>
        <w:rPr>
          <w:rFonts w:ascii="Calibri" w:hAnsi="Calibri" w:cs="Calibri"/>
          <w:sz w:val="20"/>
          <w:szCs w:val="20"/>
          <w:lang w:val="en-GB"/>
        </w:rPr>
        <w:t>“RESOL</w:t>
      </w:r>
      <w:r>
        <w:rPr>
          <w:rFonts w:ascii="Calibri" w:hAnsi="Calibri" w:cs="Calibri"/>
          <w:sz w:val="20"/>
          <w:szCs w:val="20"/>
          <w:lang w:val="en-GB"/>
        </w:rPr>
        <w:t xml:space="preserve">VED FURTHER THAT </w:t>
      </w:r>
      <w:r>
        <w:rPr>
          <w:rFonts w:ascii="Calibri" w:hAnsi="Calibri" w:cs="Calibri"/>
          <w:sz w:val="20"/>
          <w:szCs w:val="20"/>
          <w:lang w:val="en-IN"/>
        </w:rPr>
        <w:t xml:space="preserve">the above </w:t>
      </w:r>
      <w:proofErr w:type="gramStart"/>
      <w:r>
        <w:rPr>
          <w:rFonts w:ascii="Calibri" w:hAnsi="Calibri" w:cs="Calibri"/>
          <w:sz w:val="20"/>
          <w:szCs w:val="20"/>
          <w:lang w:val="en-IN"/>
        </w:rPr>
        <w:t>persons  in</w:t>
      </w:r>
      <w:proofErr w:type="gramEnd"/>
      <w:r>
        <w:rPr>
          <w:rFonts w:ascii="Calibri" w:hAnsi="Calibri" w:cs="Calibri"/>
          <w:sz w:val="20"/>
          <w:szCs w:val="20"/>
          <w:lang w:val="en-IN"/>
        </w:rPr>
        <w:t xml:space="preserve"> the manner specified above are hereby authorised to operate the said account. The </w:t>
      </w:r>
      <w:r w:rsidR="00B91434">
        <w:rPr>
          <w:rFonts w:ascii="Calibri" w:hAnsi="Calibri" w:cs="Calibri"/>
          <w:sz w:val="20"/>
          <w:szCs w:val="20"/>
          <w:lang w:val="en-IN"/>
        </w:rPr>
        <w:t>Repository Participant</w:t>
      </w:r>
      <w:r>
        <w:rPr>
          <w:rFonts w:ascii="Calibri" w:hAnsi="Calibri" w:cs="Calibri"/>
          <w:sz w:val="20"/>
          <w:szCs w:val="20"/>
          <w:lang w:val="en-IN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  <w:lang w:val="en-IN"/>
        </w:rPr>
        <w:t>be</w:t>
      </w:r>
      <w:proofErr w:type="gramEnd"/>
      <w:r>
        <w:rPr>
          <w:rFonts w:ascii="Calibri" w:hAnsi="Calibri" w:cs="Calibri"/>
          <w:sz w:val="20"/>
          <w:szCs w:val="20"/>
          <w:lang w:val="en-IN"/>
        </w:rPr>
        <w:t xml:space="preserve"> instructed to honour all such instruction or other orders on behalf of the company by these person in the manner specified above </w:t>
      </w:r>
      <w:r>
        <w:rPr>
          <w:rFonts w:ascii="Calibri" w:hAnsi="Calibri" w:cs="Calibri"/>
          <w:sz w:val="20"/>
          <w:szCs w:val="20"/>
          <w:lang w:val="en-IN"/>
        </w:rPr>
        <w:t xml:space="preserve">and the same shall be sufficient authority and shall bind the Company in all transactions between the </w:t>
      </w:r>
      <w:r w:rsidR="00B91434">
        <w:rPr>
          <w:rFonts w:ascii="Calibri" w:hAnsi="Calibri" w:cs="Calibri"/>
          <w:sz w:val="20"/>
          <w:szCs w:val="20"/>
          <w:lang w:val="en-IN"/>
        </w:rPr>
        <w:t>Repository Participant</w:t>
      </w:r>
      <w:r>
        <w:rPr>
          <w:rFonts w:ascii="Calibri" w:hAnsi="Calibri" w:cs="Calibri"/>
          <w:sz w:val="20"/>
          <w:szCs w:val="20"/>
          <w:lang w:val="en-IN"/>
        </w:rPr>
        <w:t xml:space="preserve"> and the Company.”</w:t>
      </w:r>
      <w:r w:rsidR="00B91434">
        <w:rPr>
          <w:rFonts w:ascii="Calibri" w:hAnsi="Calibri" w:cs="Calibri"/>
          <w:sz w:val="20"/>
          <w:szCs w:val="20"/>
          <w:lang w:val="en-IN"/>
        </w:rPr>
        <w:t>This shall</w:t>
      </w:r>
      <w:r>
        <w:rPr>
          <w:rFonts w:ascii="Calibri" w:hAnsi="Calibri" w:cs="Calibri"/>
          <w:sz w:val="20"/>
          <w:szCs w:val="20"/>
          <w:lang w:val="en-IN"/>
        </w:rPr>
        <w:t xml:space="preserve"> remain in force until notice in writing is given to the Globe Capital Market Ltd</w:t>
      </w:r>
    </w:p>
    <w:p w:rsidR="00000000" w:rsidRDefault="0044333E">
      <w:pPr>
        <w:jc w:val="both"/>
        <w:rPr>
          <w:rFonts w:ascii="Calibri" w:hAnsi="Calibri" w:cs="Calibri"/>
          <w:sz w:val="20"/>
          <w:szCs w:val="20"/>
          <w:lang w:val="en-IN"/>
        </w:rPr>
      </w:pPr>
    </w:p>
    <w:p w:rsidR="00000000" w:rsidRDefault="0044333E">
      <w:pPr>
        <w:jc w:val="both"/>
        <w:rPr>
          <w:rFonts w:ascii="Calibri" w:hAnsi="Calibri" w:cs="Calibri"/>
          <w:sz w:val="20"/>
          <w:szCs w:val="20"/>
          <w:lang w:val="en-GB"/>
        </w:rPr>
      </w:pPr>
    </w:p>
    <w:p w:rsidR="00000000" w:rsidRDefault="0044333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en-GB"/>
        </w:rPr>
        <w:t>"RESOLVED FURTHER THA</w:t>
      </w:r>
      <w:r>
        <w:rPr>
          <w:rFonts w:ascii="Calibri" w:hAnsi="Calibri" w:cs="Calibri"/>
          <w:sz w:val="20"/>
          <w:szCs w:val="20"/>
          <w:lang w:val="en-IN"/>
        </w:rPr>
        <w:t>T a certified true</w:t>
      </w:r>
      <w:r>
        <w:rPr>
          <w:rFonts w:ascii="Calibri" w:hAnsi="Calibri" w:cs="Calibri"/>
          <w:sz w:val="20"/>
          <w:szCs w:val="20"/>
          <w:lang w:val="en-IN"/>
        </w:rPr>
        <w:t xml:space="preserve"> copy of the </w:t>
      </w:r>
      <w:proofErr w:type="gramStart"/>
      <w:r>
        <w:rPr>
          <w:rFonts w:ascii="Calibri" w:hAnsi="Calibri" w:cs="Calibri"/>
          <w:sz w:val="20"/>
          <w:szCs w:val="20"/>
          <w:lang w:val="en-IN"/>
        </w:rPr>
        <w:t>resolution  be</w:t>
      </w:r>
      <w:proofErr w:type="gramEnd"/>
      <w:r>
        <w:rPr>
          <w:rFonts w:ascii="Calibri" w:hAnsi="Calibri" w:cs="Calibri"/>
          <w:sz w:val="20"/>
          <w:szCs w:val="20"/>
          <w:lang w:val="en-IN"/>
        </w:rPr>
        <w:t xml:space="preserve"> forwarded to the </w:t>
      </w:r>
      <w:r w:rsidR="00B91434">
        <w:rPr>
          <w:rFonts w:ascii="Calibri" w:hAnsi="Calibri" w:cs="Calibri"/>
          <w:sz w:val="20"/>
          <w:szCs w:val="20"/>
          <w:lang w:val="en-IN"/>
        </w:rPr>
        <w:t xml:space="preserve">Repository Participant </w:t>
      </w:r>
      <w:r>
        <w:rPr>
          <w:rFonts w:ascii="Calibri" w:hAnsi="Calibri" w:cs="Calibri"/>
          <w:sz w:val="20"/>
          <w:szCs w:val="20"/>
          <w:lang w:val="en-IN"/>
        </w:rPr>
        <w:t>''.</w:t>
      </w:r>
    </w:p>
    <w:p w:rsidR="00000000" w:rsidRDefault="0044333E">
      <w:pPr>
        <w:rPr>
          <w:rFonts w:ascii="Calibri" w:hAnsi="Calibri" w:cs="Calibri"/>
          <w:sz w:val="20"/>
          <w:szCs w:val="20"/>
          <w:lang w:val="en-GB"/>
        </w:rPr>
      </w:pPr>
    </w:p>
    <w:p w:rsidR="00000000" w:rsidRDefault="0044333E">
      <w:pPr>
        <w:rPr>
          <w:rFonts w:ascii="Calibri" w:hAnsi="Calibri" w:cs="Calibri"/>
          <w:sz w:val="20"/>
          <w:szCs w:val="20"/>
          <w:lang w:val="en-GB"/>
        </w:rPr>
      </w:pPr>
      <w:proofErr w:type="spellStart"/>
      <w:proofErr w:type="gramStart"/>
      <w:r>
        <w:rPr>
          <w:rFonts w:ascii="Calibri" w:hAnsi="Calibri" w:cs="Calibri"/>
          <w:sz w:val="20"/>
          <w:szCs w:val="20"/>
          <w:lang w:val="en-GB"/>
        </w:rPr>
        <w:t>sd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>-</w:t>
      </w:r>
      <w:proofErr w:type="gramEnd"/>
    </w:p>
    <w:p w:rsidR="00000000" w:rsidRDefault="0044333E">
      <w:pPr>
        <w:rPr>
          <w:rFonts w:ascii="Calibri" w:hAnsi="Calibri" w:cs="Calibri"/>
          <w:sz w:val="20"/>
          <w:szCs w:val="20"/>
          <w:lang w:val="en-GB"/>
        </w:rPr>
      </w:pPr>
      <w:r>
        <w:rPr>
          <w:rFonts w:ascii="Calibri" w:hAnsi="Calibri" w:cs="Calibri"/>
          <w:sz w:val="20"/>
          <w:szCs w:val="20"/>
          <w:lang w:val="en-GB"/>
        </w:rPr>
        <w:t>Chairman</w:t>
      </w:r>
    </w:p>
    <w:p w:rsidR="00000000" w:rsidRDefault="0044333E">
      <w:pPr>
        <w:rPr>
          <w:rFonts w:ascii="Calibri" w:hAnsi="Calibri" w:cs="Calibri"/>
          <w:sz w:val="20"/>
          <w:szCs w:val="20"/>
          <w:lang w:val="en-GB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78"/>
        <w:gridCol w:w="3406"/>
      </w:tblGrid>
      <w:tr w:rsidR="00000000"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Certified true copy</w:t>
            </w:r>
          </w:p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</w:t>
            </w:r>
            <w:r w:rsidR="00B91434">
              <w:rPr>
                <w:rFonts w:ascii="Calibri" w:hAnsi="Calibri" w:cs="Calibri"/>
                <w:sz w:val="20"/>
                <w:szCs w:val="20"/>
                <w:lang w:val="en-GB"/>
              </w:rPr>
              <w:t>_________________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Certified true copy</w:t>
            </w:r>
          </w:p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For </w:t>
            </w:r>
            <w:r w:rsidR="00B91434">
              <w:rPr>
                <w:rFonts w:ascii="Calibri" w:hAnsi="Calibri" w:cs="Calibri"/>
                <w:sz w:val="20"/>
                <w:szCs w:val="20"/>
                <w:lang w:val="en-GB"/>
              </w:rPr>
              <w:t>______________________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</w:p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000000" w:rsidRDefault="0044333E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:rsidR="0044333E" w:rsidRDefault="0044333E">
      <w:pPr>
        <w:rPr>
          <w:rFonts w:ascii="Calibri" w:hAnsi="Calibri" w:cs="Calibri"/>
          <w:sz w:val="20"/>
          <w:szCs w:val="20"/>
          <w:lang w:val="en-GB"/>
        </w:rPr>
      </w:pPr>
    </w:p>
    <w:sectPr w:rsidR="0044333E">
      <w:pgSz w:w="12240" w:h="15840"/>
      <w:pgMar w:top="1440" w:right="1800" w:bottom="720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noPunctuationKerning/>
  <w:characterSpacingControl w:val="doNotCompress"/>
  <w:doNotValidateAgainstSchema/>
  <w:doNotDemarcateInvalidXml/>
  <w:compat>
    <w:spaceForUL/>
    <w:doNotLeaveBackslashAlone/>
  </w:compat>
  <w:rsids>
    <w:rsidRoot w:val="14E54C09"/>
    <w:rsid w:val="0044333E"/>
    <w:rsid w:val="00B91434"/>
    <w:rsid w:val="14E54C09"/>
    <w:rsid w:val="1A4545F5"/>
    <w:rsid w:val="45AC0279"/>
    <w:rsid w:val="5921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  <w:szCs w:val="20"/>
      <w:lang w:val="en-GB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uppressAutoHyphens/>
      <w:spacing w:before="280" w:after="280"/>
    </w:pPr>
    <w:rPr>
      <w:lang w:eastAsia="ar-SA"/>
    </w:rPr>
  </w:style>
  <w:style w:type="paragraph" w:customStyle="1" w:styleId="Para1">
    <w:name w:val="Para 1"/>
    <w:pPr>
      <w:spacing w:after="240" w:line="240" w:lineRule="exact"/>
      <w:jc w:val="both"/>
    </w:pPr>
    <w:rPr>
      <w:rFonts w:ascii="Courier" w:hAnsi="Courier"/>
      <w:sz w:val="24"/>
      <w:lang w:bidi="ar-SA"/>
    </w:rPr>
  </w:style>
  <w:style w:type="paragraph" w:customStyle="1" w:styleId="CenteredHeading">
    <w:name w:val="Centered Heading"/>
    <w:pPr>
      <w:keepNext/>
      <w:keepLines/>
      <w:spacing w:before="480" w:after="480" w:line="240" w:lineRule="exact"/>
      <w:jc w:val="center"/>
    </w:pPr>
    <w:rPr>
      <w:rFonts w:ascii="Courier" w:hAnsi="Courier"/>
      <w:b/>
      <w:caps/>
      <w:sz w:val="28"/>
      <w:lang w:bidi="ar-SA"/>
    </w:rPr>
  </w:style>
  <w:style w:type="paragraph" w:customStyle="1" w:styleId="AuthorsName">
    <w:name w:val="Author's Name"/>
    <w:pPr>
      <w:keepNext/>
      <w:keepLines/>
      <w:spacing w:before="480" w:line="240" w:lineRule="exact"/>
      <w:jc w:val="right"/>
    </w:pPr>
    <w:rPr>
      <w:rFonts w:ascii="Courier" w:hAnsi="Courier"/>
      <w:b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ROOT\Management\Company%20Secretary%20Functions\Board%20Resolutions\17%20-%2018\Draft%20Resolution\Draft%20-%20Account%20opening%20CDSL-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Draft - Account opening CDSL-2.dot</Template>
  <TotalTime>6</TotalTime>
  <Pages>1</Pages>
  <Words>208</Words>
  <Characters>1186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COPY OF THE RESOLUTION PASSED AT THE MEETING OF THE BOARD OF DIRECTORS OF M/S VIVEK FINANCIAL FOCUS LIMITED HELD ON 05-03-2009 AT THE REGISTERED OFFICE OF THE COMPANY AT 105, VISHWA SADAN, 9, DISTRICT CENTRE, JANAKPURI, NEW DELHI-110 058</dc:title>
  <dc:creator>VFFL-9</dc:creator>
  <cp:lastModifiedBy>BNG-1</cp:lastModifiedBy>
  <cp:revision>2</cp:revision>
  <cp:lastPrinted>2018-04-18T12:49:00Z</cp:lastPrinted>
  <dcterms:created xsi:type="dcterms:W3CDTF">2018-05-15T11:52:00Z</dcterms:created>
  <dcterms:modified xsi:type="dcterms:W3CDTF">2018-05-15T11:52:00Z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